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64B3F9" w14:textId="7E5D3936" w:rsidR="00A1219F" w:rsidRPr="00CE0B69" w:rsidRDefault="00351FF3" w:rsidP="008321FB">
      <w:pPr>
        <w:pStyle w:val="Heading1"/>
      </w:pPr>
      <w:r w:rsidRPr="00CE0B69">
        <w:t>Complete a Preliminary Assessment Review before developing any new policy at UQ</w:t>
      </w: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3258"/>
        <w:gridCol w:w="6374"/>
      </w:tblGrid>
      <w:tr w:rsidR="00CE0B69" w:rsidRPr="00F03BB0" w14:paraId="43AF627F" w14:textId="6D99190D" w:rsidTr="00B21E70">
        <w:trPr>
          <w:trHeight w:val="20"/>
        </w:trPr>
        <w:tc>
          <w:tcPr>
            <w:tcW w:w="9632" w:type="dxa"/>
            <w:gridSpan w:val="2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  <w:shd w:val="clear" w:color="auto" w:fill="51247A"/>
          </w:tcPr>
          <w:p w14:paraId="2562E66F" w14:textId="5E7129F3" w:rsidR="00CE0B69" w:rsidRPr="00F03BB0" w:rsidRDefault="00CE0B69" w:rsidP="00F03BB0">
            <w:pPr>
              <w:spacing w:before="60" w:after="60" w:line="259" w:lineRule="auto"/>
              <w:rPr>
                <w:b/>
                <w:szCs w:val="20"/>
              </w:rPr>
            </w:pPr>
            <w:r w:rsidRPr="00F03BB0">
              <w:rPr>
                <w:b/>
                <w:szCs w:val="20"/>
              </w:rPr>
              <w:t>Overview</w:t>
            </w:r>
          </w:p>
        </w:tc>
      </w:tr>
      <w:tr w:rsidR="00F6489E" w:rsidRPr="00F03BB0" w14:paraId="6C61BA5D" w14:textId="5E2EFA94" w:rsidTr="00C6387F">
        <w:trPr>
          <w:trHeight w:val="20"/>
        </w:trPr>
        <w:tc>
          <w:tcPr>
            <w:tcW w:w="3258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5DF3C88D" w14:textId="2017447E" w:rsidR="00F6489E" w:rsidRPr="00F03BB0" w:rsidRDefault="00F6489E" w:rsidP="00F03BB0">
            <w:pPr>
              <w:spacing w:before="60" w:after="60" w:line="259" w:lineRule="auto"/>
              <w:rPr>
                <w:i/>
                <w:szCs w:val="20"/>
              </w:rPr>
            </w:pPr>
            <w:r w:rsidRPr="00F03BB0">
              <w:rPr>
                <w:szCs w:val="20"/>
              </w:rPr>
              <w:t>Name of Organisational Unit:</w:t>
            </w:r>
          </w:p>
        </w:tc>
        <w:tc>
          <w:tcPr>
            <w:tcW w:w="6374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4B4FD9D4" w14:textId="77777777" w:rsidR="00F6489E" w:rsidRPr="00F03BB0" w:rsidRDefault="00F6489E" w:rsidP="00F03BB0">
            <w:pPr>
              <w:spacing w:before="60" w:after="60" w:line="259" w:lineRule="auto"/>
              <w:rPr>
                <w:szCs w:val="20"/>
              </w:rPr>
            </w:pPr>
          </w:p>
        </w:tc>
      </w:tr>
      <w:tr w:rsidR="00F6489E" w:rsidRPr="00F03BB0" w14:paraId="4490DE13" w14:textId="51648097" w:rsidTr="00C6387F">
        <w:trPr>
          <w:trHeight w:val="20"/>
        </w:trPr>
        <w:tc>
          <w:tcPr>
            <w:tcW w:w="3258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046F8012" w14:textId="550A2F04" w:rsidR="00F6489E" w:rsidRPr="00F03BB0" w:rsidRDefault="00F6489E" w:rsidP="00F03BB0">
            <w:pPr>
              <w:spacing w:before="60" w:after="60" w:line="259" w:lineRule="auto"/>
              <w:rPr>
                <w:rFonts w:ascii="Arial" w:eastAsia="Calibri" w:hAnsi="Arial" w:cs="Arial"/>
                <w:i/>
                <w:szCs w:val="20"/>
              </w:rPr>
            </w:pPr>
            <w:r w:rsidRPr="00F03BB0">
              <w:rPr>
                <w:szCs w:val="20"/>
              </w:rPr>
              <w:t>Name of proposed policy:</w:t>
            </w:r>
          </w:p>
        </w:tc>
        <w:tc>
          <w:tcPr>
            <w:tcW w:w="6374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17A6143F" w14:textId="77777777" w:rsidR="00F6489E" w:rsidRPr="00F03BB0" w:rsidRDefault="00F6489E" w:rsidP="00F03BB0">
            <w:pPr>
              <w:spacing w:before="60" w:after="60" w:line="259" w:lineRule="auto"/>
              <w:rPr>
                <w:szCs w:val="20"/>
              </w:rPr>
            </w:pPr>
          </w:p>
        </w:tc>
      </w:tr>
      <w:tr w:rsidR="00F6489E" w:rsidRPr="00F03BB0" w14:paraId="0A6EC73E" w14:textId="5963843C" w:rsidTr="00C6387F">
        <w:trPr>
          <w:trHeight w:val="20"/>
        </w:trPr>
        <w:tc>
          <w:tcPr>
            <w:tcW w:w="3258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69695F02" w14:textId="4D4DF7F8" w:rsidR="00F6489E" w:rsidRPr="00F03BB0" w:rsidRDefault="00F6489E" w:rsidP="00F03BB0">
            <w:pPr>
              <w:spacing w:before="60" w:after="60" w:line="259" w:lineRule="auto"/>
              <w:rPr>
                <w:rFonts w:ascii="Arial" w:eastAsia="Calibri" w:hAnsi="Arial" w:cs="Arial"/>
                <w:szCs w:val="20"/>
              </w:rPr>
            </w:pPr>
            <w:r w:rsidRPr="00F03BB0">
              <w:rPr>
                <w:rFonts w:ascii="Arial" w:eastAsia="Calibri" w:hAnsi="Arial" w:cs="Arial"/>
                <w:szCs w:val="20"/>
              </w:rPr>
              <w:t xml:space="preserve">Why a new policy is needed: </w:t>
            </w:r>
          </w:p>
        </w:tc>
        <w:tc>
          <w:tcPr>
            <w:tcW w:w="6374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59D4D959" w14:textId="423FBD26" w:rsidR="00F6489E" w:rsidRPr="00F03BB0" w:rsidRDefault="00F03BB0" w:rsidP="00F03BB0">
            <w:pPr>
              <w:spacing w:before="60" w:after="60" w:line="259" w:lineRule="auto"/>
              <w:rPr>
                <w:rFonts w:ascii="Arial" w:eastAsia="Calibri" w:hAnsi="Arial" w:cs="Arial"/>
                <w:szCs w:val="20"/>
              </w:rPr>
            </w:pPr>
            <w:r w:rsidRPr="00F03BB0">
              <w:rPr>
                <w:rFonts w:ascii="Arial" w:eastAsia="Calibri" w:hAnsi="Arial" w:cs="Arial"/>
                <w:i/>
                <w:color w:val="7F7F7F" w:themeColor="text1" w:themeTint="80"/>
                <w:szCs w:val="20"/>
              </w:rPr>
              <w:t>Refer to the ‘criteria for issuing policies’ guidance on page 2.</w:t>
            </w:r>
          </w:p>
        </w:tc>
      </w:tr>
      <w:tr w:rsidR="00F6489E" w:rsidRPr="00F03BB0" w14:paraId="7DB0C7A8" w14:textId="55A30638" w:rsidTr="00C6387F">
        <w:trPr>
          <w:trHeight w:val="20"/>
        </w:trPr>
        <w:tc>
          <w:tcPr>
            <w:tcW w:w="3258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516DD5D2" w14:textId="5746AC54" w:rsidR="00F6489E" w:rsidRPr="00F03BB0" w:rsidRDefault="00F6489E" w:rsidP="00F03BB0">
            <w:pPr>
              <w:spacing w:before="60" w:after="60" w:line="259" w:lineRule="auto"/>
              <w:rPr>
                <w:szCs w:val="20"/>
              </w:rPr>
            </w:pPr>
            <w:r w:rsidRPr="00F03BB0">
              <w:rPr>
                <w:szCs w:val="20"/>
              </w:rPr>
              <w:t>Existing UQ documents and other information sources related to the policy</w:t>
            </w:r>
            <w:r w:rsidR="00CE0B69" w:rsidRPr="00F03BB0">
              <w:rPr>
                <w:szCs w:val="20"/>
              </w:rPr>
              <w:t>:</w:t>
            </w:r>
          </w:p>
        </w:tc>
        <w:tc>
          <w:tcPr>
            <w:tcW w:w="6374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6A3278D8" w14:textId="56B0D38B" w:rsidR="00F6489E" w:rsidRPr="00F03BB0" w:rsidRDefault="00F03BB0" w:rsidP="00F03BB0">
            <w:pPr>
              <w:spacing w:before="60" w:after="60" w:line="259" w:lineRule="auto"/>
              <w:rPr>
                <w:szCs w:val="20"/>
              </w:rPr>
            </w:pPr>
            <w:r w:rsidRPr="00F03BB0">
              <w:rPr>
                <w:rFonts w:ascii="Arial" w:eastAsia="Calibri" w:hAnsi="Arial" w:cs="Arial"/>
                <w:i/>
                <w:color w:val="7F7F7F" w:themeColor="text1" w:themeTint="80"/>
                <w:szCs w:val="20"/>
              </w:rPr>
              <w:t>(e.g. other policies / procedures / guidelines / websites)</w:t>
            </w:r>
          </w:p>
        </w:tc>
      </w:tr>
      <w:tr w:rsidR="00F6489E" w:rsidRPr="00F03BB0" w14:paraId="7812223F" w14:textId="2D52E2E4" w:rsidTr="00C6387F">
        <w:trPr>
          <w:trHeight w:val="20"/>
        </w:trPr>
        <w:tc>
          <w:tcPr>
            <w:tcW w:w="3258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78BCA4FB" w14:textId="5829D113" w:rsidR="00F6489E" w:rsidRPr="00F03BB0" w:rsidRDefault="00F6489E" w:rsidP="00F03BB0">
            <w:pPr>
              <w:spacing w:before="60" w:after="60" w:line="259" w:lineRule="auto"/>
              <w:rPr>
                <w:szCs w:val="20"/>
              </w:rPr>
            </w:pPr>
            <w:r w:rsidRPr="00F03BB0">
              <w:rPr>
                <w:szCs w:val="20"/>
              </w:rPr>
              <w:t>Proposed new UQ documents and other information sources to support the policy</w:t>
            </w:r>
            <w:r w:rsidR="00CE0B69" w:rsidRPr="00F03BB0">
              <w:rPr>
                <w:szCs w:val="20"/>
              </w:rPr>
              <w:t>:</w:t>
            </w:r>
          </w:p>
        </w:tc>
        <w:tc>
          <w:tcPr>
            <w:tcW w:w="6374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5FD7184C" w14:textId="60EA4D73" w:rsidR="00F6489E" w:rsidRPr="00F03BB0" w:rsidRDefault="00F03BB0" w:rsidP="00F03BB0">
            <w:pPr>
              <w:spacing w:before="60" w:after="60" w:line="259" w:lineRule="auto"/>
              <w:rPr>
                <w:szCs w:val="20"/>
              </w:rPr>
            </w:pPr>
            <w:r w:rsidRPr="00F03BB0">
              <w:rPr>
                <w:rFonts w:ascii="Arial" w:eastAsia="Calibri" w:hAnsi="Arial" w:cs="Arial"/>
                <w:i/>
                <w:color w:val="7F7F7F" w:themeColor="text1" w:themeTint="80"/>
                <w:szCs w:val="20"/>
              </w:rPr>
              <w:t>(e.g. other policies / procedures / guidelines / websites)</w:t>
            </w:r>
          </w:p>
        </w:tc>
      </w:tr>
      <w:tr w:rsidR="00F6489E" w:rsidRPr="00F03BB0" w14:paraId="64027FDA" w14:textId="59CC02C9" w:rsidTr="00C6387F">
        <w:trPr>
          <w:trHeight w:val="20"/>
        </w:trPr>
        <w:tc>
          <w:tcPr>
            <w:tcW w:w="3258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0DE6A2DC" w14:textId="6CB9CAC0" w:rsidR="00F6489E" w:rsidRPr="00F03BB0" w:rsidRDefault="00F6489E" w:rsidP="00F03BB0">
            <w:pPr>
              <w:spacing w:before="60" w:after="60" w:line="259" w:lineRule="auto"/>
              <w:rPr>
                <w:szCs w:val="20"/>
              </w:rPr>
            </w:pPr>
            <w:r w:rsidRPr="00F03BB0">
              <w:rPr>
                <w:szCs w:val="20"/>
              </w:rPr>
              <w:t>Who will be consulted during development of the policy and following its implementation?</w:t>
            </w:r>
          </w:p>
        </w:tc>
        <w:tc>
          <w:tcPr>
            <w:tcW w:w="6374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0293B76F" w14:textId="77777777" w:rsidR="00F6489E" w:rsidRPr="00F03BB0" w:rsidRDefault="00F6489E" w:rsidP="00F03BB0">
            <w:pPr>
              <w:spacing w:before="60" w:after="60" w:line="259" w:lineRule="auto"/>
              <w:rPr>
                <w:szCs w:val="20"/>
              </w:rPr>
            </w:pPr>
          </w:p>
        </w:tc>
      </w:tr>
      <w:tr w:rsidR="00F6489E" w:rsidRPr="00F03BB0" w14:paraId="791D1296" w14:textId="77F0CBB4" w:rsidTr="00C6387F">
        <w:trPr>
          <w:trHeight w:val="20"/>
        </w:trPr>
        <w:tc>
          <w:tcPr>
            <w:tcW w:w="3258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22D5A4B9" w14:textId="4A451B01" w:rsidR="00F6489E" w:rsidRPr="00F03BB0" w:rsidRDefault="00F6489E" w:rsidP="00F03BB0">
            <w:pPr>
              <w:spacing w:before="60" w:after="60" w:line="259" w:lineRule="auto"/>
              <w:rPr>
                <w:szCs w:val="20"/>
              </w:rPr>
            </w:pPr>
            <w:r w:rsidRPr="00F03BB0">
              <w:rPr>
                <w:szCs w:val="20"/>
              </w:rPr>
              <w:t xml:space="preserve">Who will be the policy owner and approval authority? </w:t>
            </w:r>
          </w:p>
        </w:tc>
        <w:tc>
          <w:tcPr>
            <w:tcW w:w="6374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6BC3A2F0" w14:textId="0CF5BC4A" w:rsidR="00F6489E" w:rsidRPr="00F03BB0" w:rsidRDefault="00F03BB0" w:rsidP="00F03BB0">
            <w:pPr>
              <w:spacing w:before="60" w:after="60" w:line="259" w:lineRule="auto"/>
              <w:rPr>
                <w:szCs w:val="20"/>
              </w:rPr>
            </w:pPr>
            <w:r w:rsidRPr="00F03BB0">
              <w:rPr>
                <w:rFonts w:ascii="Arial" w:eastAsia="Calibri" w:hAnsi="Arial" w:cs="Arial"/>
                <w:i/>
                <w:color w:val="7F7F7F" w:themeColor="text1" w:themeTint="80"/>
                <w:szCs w:val="20"/>
              </w:rPr>
              <w:t xml:space="preserve">Refer to the </w:t>
            </w:r>
            <w:hyperlink r:id="rId8" w:history="1">
              <w:r w:rsidRPr="00F03BB0">
                <w:rPr>
                  <w:rFonts w:ascii="Arial" w:eastAsia="Calibri" w:hAnsi="Arial" w:cs="Arial"/>
                  <w:i/>
                  <w:color w:val="7F7F7F" w:themeColor="text1" w:themeTint="80"/>
                  <w:szCs w:val="20"/>
                </w:rPr>
                <w:t>Governance and Management Framework Policy</w:t>
              </w:r>
            </w:hyperlink>
          </w:p>
        </w:tc>
      </w:tr>
      <w:tr w:rsidR="00CE0B69" w:rsidRPr="00F03BB0" w14:paraId="6CA8007A" w14:textId="4B4ECD58" w:rsidTr="00EA12C8">
        <w:trPr>
          <w:trHeight w:val="20"/>
        </w:trPr>
        <w:tc>
          <w:tcPr>
            <w:tcW w:w="9632" w:type="dxa"/>
            <w:gridSpan w:val="2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  <w:shd w:val="clear" w:color="auto" w:fill="51247A"/>
          </w:tcPr>
          <w:p w14:paraId="2928820F" w14:textId="38D7BBAC" w:rsidR="00CE0B69" w:rsidRPr="00F03BB0" w:rsidRDefault="00CE0B69" w:rsidP="00F03BB0">
            <w:pPr>
              <w:spacing w:before="60" w:after="60" w:line="259" w:lineRule="auto"/>
              <w:rPr>
                <w:b/>
                <w:szCs w:val="20"/>
              </w:rPr>
            </w:pPr>
            <w:r w:rsidRPr="00F03BB0">
              <w:rPr>
                <w:b/>
                <w:szCs w:val="20"/>
              </w:rPr>
              <w:t>Likely impact on UQ staff, students or other groups</w:t>
            </w:r>
          </w:p>
        </w:tc>
      </w:tr>
      <w:tr w:rsidR="00F6489E" w:rsidRPr="00F03BB0" w14:paraId="716C75FB" w14:textId="1212522B" w:rsidTr="00C6387F">
        <w:trPr>
          <w:trHeight w:val="20"/>
        </w:trPr>
        <w:tc>
          <w:tcPr>
            <w:tcW w:w="3258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0427441B" w14:textId="5EB5BD5F" w:rsidR="00F6489E" w:rsidRPr="00F03BB0" w:rsidRDefault="00F6489E" w:rsidP="00F03BB0">
            <w:pPr>
              <w:spacing w:before="60" w:after="60" w:line="259" w:lineRule="auto"/>
              <w:rPr>
                <w:szCs w:val="20"/>
              </w:rPr>
            </w:pPr>
            <w:r w:rsidRPr="00F03BB0">
              <w:rPr>
                <w:szCs w:val="20"/>
              </w:rPr>
              <w:t>What is the scope of the policy</w:t>
            </w:r>
            <w:r w:rsidR="00CE0B69" w:rsidRPr="00F03BB0">
              <w:rPr>
                <w:szCs w:val="20"/>
              </w:rPr>
              <w:t>?</w:t>
            </w:r>
          </w:p>
        </w:tc>
        <w:tc>
          <w:tcPr>
            <w:tcW w:w="6374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63E6F17E" w14:textId="0FF2550E" w:rsidR="00F6489E" w:rsidRPr="00F03BB0" w:rsidRDefault="00F03BB0" w:rsidP="00F03BB0">
            <w:pPr>
              <w:spacing w:before="60" w:after="60" w:line="259" w:lineRule="auto"/>
              <w:rPr>
                <w:szCs w:val="20"/>
              </w:rPr>
            </w:pPr>
            <w:r w:rsidRPr="00F03BB0">
              <w:rPr>
                <w:rFonts w:ascii="Arial" w:eastAsia="Calibri" w:hAnsi="Arial" w:cs="Arial"/>
                <w:i/>
                <w:color w:val="7F7F7F" w:themeColor="text1" w:themeTint="80"/>
                <w:szCs w:val="20"/>
              </w:rPr>
              <w:t>(e.g. aimed at a specific group or UQ-wide)</w:t>
            </w:r>
          </w:p>
        </w:tc>
      </w:tr>
      <w:tr w:rsidR="00F6489E" w:rsidRPr="00F03BB0" w14:paraId="6775DA67" w14:textId="2DCB5F9E" w:rsidTr="00C6387F">
        <w:trPr>
          <w:trHeight w:val="20"/>
        </w:trPr>
        <w:tc>
          <w:tcPr>
            <w:tcW w:w="3258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0FBBDDB0" w14:textId="77777777" w:rsidR="00CE0B69" w:rsidRPr="00F03BB0" w:rsidRDefault="00F6489E" w:rsidP="00F03BB0">
            <w:pPr>
              <w:spacing w:before="60" w:after="60" w:line="259" w:lineRule="auto"/>
              <w:rPr>
                <w:szCs w:val="20"/>
              </w:rPr>
            </w:pPr>
            <w:r w:rsidRPr="00F03BB0">
              <w:rPr>
                <w:szCs w:val="20"/>
              </w:rPr>
              <w:t xml:space="preserve">Is the policy likely to change current practices at UQ? </w:t>
            </w:r>
          </w:p>
          <w:p w14:paraId="68F70489" w14:textId="27660433" w:rsidR="00F6489E" w:rsidRPr="00F03BB0" w:rsidRDefault="00F6489E" w:rsidP="00F03BB0">
            <w:pPr>
              <w:spacing w:before="60" w:after="60" w:line="259" w:lineRule="auto"/>
              <w:rPr>
                <w:rFonts w:ascii="Arial" w:eastAsia="Calibri" w:hAnsi="Arial" w:cs="Arial"/>
                <w:i/>
                <w:szCs w:val="20"/>
              </w:rPr>
            </w:pPr>
            <w:r w:rsidRPr="00F03BB0">
              <w:rPr>
                <w:szCs w:val="20"/>
              </w:rPr>
              <w:t>If so, please specify:</w:t>
            </w:r>
          </w:p>
        </w:tc>
        <w:tc>
          <w:tcPr>
            <w:tcW w:w="6374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6E1FF900" w14:textId="77777777" w:rsidR="00F6489E" w:rsidRPr="00F03BB0" w:rsidRDefault="00F6489E" w:rsidP="00F03BB0">
            <w:pPr>
              <w:spacing w:before="60" w:after="60" w:line="259" w:lineRule="auto"/>
              <w:rPr>
                <w:szCs w:val="20"/>
              </w:rPr>
            </w:pPr>
          </w:p>
        </w:tc>
      </w:tr>
      <w:tr w:rsidR="00F6489E" w:rsidRPr="00F03BB0" w14:paraId="0D0BE95D" w14:textId="5BA07593" w:rsidTr="00C6387F">
        <w:trPr>
          <w:trHeight w:val="20"/>
        </w:trPr>
        <w:tc>
          <w:tcPr>
            <w:tcW w:w="3258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6966CA26" w14:textId="77777777" w:rsidR="00CE0B69" w:rsidRPr="00F03BB0" w:rsidRDefault="00F6489E" w:rsidP="00F03BB0">
            <w:pPr>
              <w:spacing w:before="60" w:after="60" w:line="259" w:lineRule="auto"/>
              <w:rPr>
                <w:szCs w:val="20"/>
              </w:rPr>
            </w:pPr>
            <w:r w:rsidRPr="00F03BB0">
              <w:rPr>
                <w:szCs w:val="20"/>
              </w:rPr>
              <w:t xml:space="preserve">Will the policy increase the compliance burden on UQ staff or students? </w:t>
            </w:r>
          </w:p>
          <w:p w14:paraId="2F488B11" w14:textId="44220D58" w:rsidR="00F6489E" w:rsidRPr="00F03BB0" w:rsidRDefault="00F6489E" w:rsidP="00F03BB0">
            <w:pPr>
              <w:spacing w:before="60" w:after="60" w:line="259" w:lineRule="auto"/>
              <w:rPr>
                <w:rFonts w:ascii="Arial" w:eastAsia="Calibri" w:hAnsi="Arial" w:cs="Arial"/>
                <w:szCs w:val="20"/>
              </w:rPr>
            </w:pPr>
            <w:r w:rsidRPr="00F03BB0">
              <w:rPr>
                <w:szCs w:val="20"/>
              </w:rPr>
              <w:t>If so, please specify:</w:t>
            </w:r>
          </w:p>
        </w:tc>
        <w:tc>
          <w:tcPr>
            <w:tcW w:w="6374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35CB7CEB" w14:textId="77777777" w:rsidR="00F6489E" w:rsidRPr="00F03BB0" w:rsidRDefault="00F6489E" w:rsidP="00F03BB0">
            <w:pPr>
              <w:spacing w:before="60" w:after="60" w:line="259" w:lineRule="auto"/>
              <w:rPr>
                <w:szCs w:val="20"/>
              </w:rPr>
            </w:pPr>
          </w:p>
        </w:tc>
      </w:tr>
      <w:tr w:rsidR="00F6489E" w:rsidRPr="00F03BB0" w14:paraId="4A2F4EAC" w14:textId="5A840827" w:rsidTr="00C6387F">
        <w:trPr>
          <w:trHeight w:val="20"/>
        </w:trPr>
        <w:tc>
          <w:tcPr>
            <w:tcW w:w="3258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1D0454A0" w14:textId="4D0E96CD" w:rsidR="00F6489E" w:rsidRPr="00F03BB0" w:rsidRDefault="00F6489E" w:rsidP="00F03BB0">
            <w:pPr>
              <w:spacing w:before="60" w:after="60" w:line="259" w:lineRule="auto"/>
              <w:rPr>
                <w:rFonts w:ascii="Arial" w:eastAsia="Calibri" w:hAnsi="Arial" w:cs="Arial"/>
                <w:i/>
                <w:szCs w:val="20"/>
              </w:rPr>
            </w:pPr>
            <w:r w:rsidRPr="00F03BB0">
              <w:rPr>
                <w:szCs w:val="20"/>
              </w:rPr>
              <w:t>How will the policy be implemented and communicated</w:t>
            </w:r>
            <w:r w:rsidR="00CE0B69" w:rsidRPr="00F03BB0">
              <w:rPr>
                <w:szCs w:val="20"/>
              </w:rPr>
              <w:t>?</w:t>
            </w:r>
          </w:p>
        </w:tc>
        <w:tc>
          <w:tcPr>
            <w:tcW w:w="6374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1639B6A2" w14:textId="225D0CA1" w:rsidR="00F6489E" w:rsidRPr="00F03BB0" w:rsidRDefault="00F03BB0" w:rsidP="00F03BB0">
            <w:pPr>
              <w:spacing w:before="60" w:after="60" w:line="259" w:lineRule="auto"/>
              <w:rPr>
                <w:szCs w:val="20"/>
              </w:rPr>
            </w:pPr>
            <w:r w:rsidRPr="00F03BB0">
              <w:rPr>
                <w:rFonts w:ascii="Arial" w:eastAsia="Calibri" w:hAnsi="Arial" w:cs="Arial"/>
                <w:i/>
                <w:color w:val="7F7F7F" w:themeColor="text1" w:themeTint="80"/>
                <w:szCs w:val="20"/>
              </w:rPr>
              <w:t>(e.g. mandatory training / general publicising and awareness raising)</w:t>
            </w:r>
          </w:p>
        </w:tc>
      </w:tr>
      <w:tr w:rsidR="00F6489E" w:rsidRPr="00F03BB0" w14:paraId="131FAE5E" w14:textId="3F201EFF" w:rsidTr="00C6387F">
        <w:trPr>
          <w:trHeight w:val="20"/>
        </w:trPr>
        <w:tc>
          <w:tcPr>
            <w:tcW w:w="3258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13EA0071" w14:textId="069C6ADD" w:rsidR="00F6489E" w:rsidRPr="00F03BB0" w:rsidRDefault="00F6489E" w:rsidP="00F03BB0">
            <w:pPr>
              <w:spacing w:before="60" w:after="60" w:line="259" w:lineRule="auto"/>
              <w:rPr>
                <w:szCs w:val="20"/>
              </w:rPr>
            </w:pPr>
            <w:r w:rsidRPr="00F03BB0">
              <w:rPr>
                <w:szCs w:val="20"/>
              </w:rPr>
              <w:t xml:space="preserve">How will compliance with the policy be monitored and assured? </w:t>
            </w:r>
          </w:p>
        </w:tc>
        <w:tc>
          <w:tcPr>
            <w:tcW w:w="6374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4E51F4AD" w14:textId="77777777" w:rsidR="00F6489E" w:rsidRPr="00F03BB0" w:rsidRDefault="00F6489E" w:rsidP="00F03BB0">
            <w:pPr>
              <w:spacing w:before="60" w:after="60" w:line="259" w:lineRule="auto"/>
              <w:rPr>
                <w:szCs w:val="20"/>
              </w:rPr>
            </w:pPr>
          </w:p>
        </w:tc>
      </w:tr>
      <w:tr w:rsidR="00F6489E" w:rsidRPr="00F03BB0" w14:paraId="42145058" w14:textId="75BCD71D" w:rsidTr="00C6387F">
        <w:trPr>
          <w:trHeight w:val="20"/>
        </w:trPr>
        <w:tc>
          <w:tcPr>
            <w:tcW w:w="3258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  <w:shd w:val="clear" w:color="auto" w:fill="51247A"/>
          </w:tcPr>
          <w:p w14:paraId="2C9A9A0B" w14:textId="7B393F3D" w:rsidR="00F6489E" w:rsidRPr="00F03BB0" w:rsidRDefault="00F6489E" w:rsidP="00F03BB0">
            <w:pPr>
              <w:spacing w:before="60" w:after="60" w:line="259" w:lineRule="auto"/>
              <w:rPr>
                <w:b/>
                <w:szCs w:val="20"/>
              </w:rPr>
            </w:pPr>
            <w:r w:rsidRPr="00F03BB0">
              <w:rPr>
                <w:b/>
                <w:szCs w:val="20"/>
              </w:rPr>
              <w:t>Timing</w:t>
            </w:r>
          </w:p>
        </w:tc>
        <w:tc>
          <w:tcPr>
            <w:tcW w:w="6374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  <w:shd w:val="clear" w:color="auto" w:fill="51247A"/>
          </w:tcPr>
          <w:p w14:paraId="68956D71" w14:textId="77777777" w:rsidR="00F6489E" w:rsidRPr="00F03BB0" w:rsidRDefault="00F6489E" w:rsidP="00F03BB0">
            <w:pPr>
              <w:spacing w:before="60" w:after="60" w:line="259" w:lineRule="auto"/>
              <w:rPr>
                <w:b/>
                <w:szCs w:val="20"/>
              </w:rPr>
            </w:pPr>
          </w:p>
        </w:tc>
      </w:tr>
      <w:tr w:rsidR="00F6489E" w:rsidRPr="00F03BB0" w14:paraId="5FA406C5" w14:textId="47947645" w:rsidTr="00C6387F">
        <w:trPr>
          <w:trHeight w:val="20"/>
        </w:trPr>
        <w:tc>
          <w:tcPr>
            <w:tcW w:w="3258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205B0A3A" w14:textId="5E1F415D" w:rsidR="00F6489E" w:rsidRPr="00F03BB0" w:rsidRDefault="00F6489E" w:rsidP="00F03BB0">
            <w:pPr>
              <w:spacing w:before="60" w:after="60" w:line="259" w:lineRule="auto"/>
              <w:rPr>
                <w:i/>
                <w:szCs w:val="20"/>
              </w:rPr>
            </w:pPr>
            <w:r w:rsidRPr="00F03BB0">
              <w:rPr>
                <w:szCs w:val="20"/>
              </w:rPr>
              <w:t>Key dates and proposed timeline:</w:t>
            </w:r>
          </w:p>
        </w:tc>
        <w:tc>
          <w:tcPr>
            <w:tcW w:w="6374" w:type="dxa"/>
            <w:tcBorders>
              <w:top w:val="single" w:sz="2" w:space="0" w:color="51247A" w:themeColor="accent1"/>
              <w:left w:val="single" w:sz="2" w:space="0" w:color="51247A" w:themeColor="accent1"/>
              <w:bottom w:val="single" w:sz="2" w:space="0" w:color="51247A" w:themeColor="accent1"/>
              <w:right w:val="single" w:sz="2" w:space="0" w:color="51247A" w:themeColor="accent1"/>
            </w:tcBorders>
          </w:tcPr>
          <w:p w14:paraId="258A1653" w14:textId="77777777" w:rsidR="00F6489E" w:rsidRPr="00F03BB0" w:rsidRDefault="00F6489E" w:rsidP="00F03BB0">
            <w:pPr>
              <w:spacing w:before="60" w:after="60" w:line="259" w:lineRule="auto"/>
              <w:rPr>
                <w:szCs w:val="20"/>
              </w:rPr>
            </w:pPr>
          </w:p>
        </w:tc>
      </w:tr>
    </w:tbl>
    <w:p w14:paraId="77F40703" w14:textId="571C1702" w:rsidR="009D7E0D" w:rsidRPr="00CE0B69" w:rsidRDefault="009D7E0D" w:rsidP="00CE0B69">
      <w:pPr>
        <w:pStyle w:val="BodyText"/>
        <w:rPr>
          <w:szCs w:val="20"/>
        </w:rPr>
      </w:pPr>
      <w:r w:rsidRPr="00CE0B69">
        <w:rPr>
          <w:szCs w:val="20"/>
        </w:rPr>
        <w:t>Please contact Enterprise Governance</w:t>
      </w:r>
      <w:r w:rsidR="0030119F" w:rsidRPr="00CE0B69">
        <w:rPr>
          <w:szCs w:val="20"/>
        </w:rPr>
        <w:t xml:space="preserve"> (</w:t>
      </w:r>
      <w:hyperlink r:id="rId9" w:history="1">
        <w:r w:rsidR="00F6489E" w:rsidRPr="00CE0B69">
          <w:rPr>
            <w:rStyle w:val="Hyperlink"/>
            <w:szCs w:val="20"/>
          </w:rPr>
          <w:t>governance@uq.edu.au</w:t>
        </w:r>
      </w:hyperlink>
      <w:r w:rsidR="0030119F" w:rsidRPr="00CE0B69">
        <w:rPr>
          <w:szCs w:val="20"/>
        </w:rPr>
        <w:t xml:space="preserve"> or 3443 1485) </w:t>
      </w:r>
      <w:r w:rsidRPr="00CE0B69">
        <w:rPr>
          <w:szCs w:val="20"/>
        </w:rPr>
        <w:t>for assistance.</w:t>
      </w:r>
    </w:p>
    <w:p w14:paraId="368C1149" w14:textId="051D6596" w:rsidR="00C126DA" w:rsidRPr="00CE0B69" w:rsidRDefault="00C126DA" w:rsidP="00CE0B69">
      <w:pPr>
        <w:pStyle w:val="BodyText"/>
        <w:rPr>
          <w:szCs w:val="20"/>
        </w:rPr>
      </w:pPr>
      <w:r w:rsidRPr="00CE0B69">
        <w:rPr>
          <w:szCs w:val="20"/>
        </w:rPr>
        <w:br w:type="page"/>
      </w:r>
    </w:p>
    <w:p w14:paraId="3F2D145B" w14:textId="77777777" w:rsidR="00C126DA" w:rsidRPr="00C126DA" w:rsidRDefault="00C126DA" w:rsidP="008321FB">
      <w:pPr>
        <w:pStyle w:val="Heading1"/>
      </w:pPr>
      <w:r w:rsidRPr="00C126DA">
        <w:lastRenderedPageBreak/>
        <w:t>Prior endorsement</w:t>
      </w:r>
    </w:p>
    <w:p w14:paraId="322534CB" w14:textId="315D04B3" w:rsidR="00C126DA" w:rsidRPr="00CE0B69" w:rsidRDefault="00C126DA" w:rsidP="00CE0B69">
      <w:pPr>
        <w:pStyle w:val="BodyText"/>
        <w:rPr>
          <w:szCs w:val="20"/>
        </w:rPr>
      </w:pPr>
      <w:r w:rsidRPr="00CE0B69">
        <w:rPr>
          <w:szCs w:val="20"/>
        </w:rPr>
        <w:t xml:space="preserve">The </w:t>
      </w:r>
      <w:hyperlink r:id="rId10" w:history="1">
        <w:r w:rsidR="00F6489E" w:rsidRPr="00CE0B69">
          <w:rPr>
            <w:rStyle w:val="Hyperlink"/>
            <w:szCs w:val="20"/>
          </w:rPr>
          <w:t>Governance and Management Framework Policy</w:t>
        </w:r>
      </w:hyperlink>
      <w:r w:rsidRPr="00CE0B69">
        <w:rPr>
          <w:szCs w:val="20"/>
        </w:rPr>
        <w:t xml:space="preserve"> provides that prior endorsement of the </w:t>
      </w:r>
      <w:r w:rsidR="00F6489E" w:rsidRPr="00CE0B69">
        <w:rPr>
          <w:szCs w:val="20"/>
        </w:rPr>
        <w:t xml:space="preserve">Provost, relevant Deputy Vice-Chancellor or the Chief Operating Officer </w:t>
      </w:r>
      <w:r w:rsidRPr="00CE0B69">
        <w:rPr>
          <w:szCs w:val="20"/>
        </w:rPr>
        <w:t>is required for the development of a new policy or to make significant changes to an existing policy.</w:t>
      </w:r>
    </w:p>
    <w:p w14:paraId="08CA3022" w14:textId="77777777" w:rsidR="00C126DA" w:rsidRPr="00F03BB0" w:rsidRDefault="00C126DA" w:rsidP="00F03BB0">
      <w:pPr>
        <w:pStyle w:val="Heading1"/>
      </w:pPr>
      <w:r w:rsidRPr="00F03BB0">
        <w:t>Criteria for issuing policies</w:t>
      </w:r>
    </w:p>
    <w:p w14:paraId="11B2BD28" w14:textId="77777777" w:rsidR="00C126DA" w:rsidRPr="00CE0B69" w:rsidRDefault="00C126DA" w:rsidP="00CE0B69">
      <w:pPr>
        <w:pStyle w:val="BodyText"/>
      </w:pPr>
      <w:r w:rsidRPr="00CE0B69">
        <w:t>Policies at UQ are developed, adopted and managed to realise one or more of the following objectives:</w:t>
      </w:r>
    </w:p>
    <w:p w14:paraId="110F571D" w14:textId="767DE5CB" w:rsidR="00C126DA" w:rsidRPr="00CE0B69" w:rsidRDefault="00C126DA" w:rsidP="00CE0B69">
      <w:pPr>
        <w:pStyle w:val="BodyText"/>
        <w:numPr>
          <w:ilvl w:val="0"/>
          <w:numId w:val="23"/>
        </w:numPr>
      </w:pPr>
      <w:r w:rsidRPr="00CE0B69">
        <w:t>To support the achievement of the University’s objectives and strategic pri</w:t>
      </w:r>
      <w:r w:rsidR="00015DFA" w:rsidRPr="00CE0B69">
        <w:t>orities.</w:t>
      </w:r>
    </w:p>
    <w:p w14:paraId="148DB420" w14:textId="2C1ABFEF" w:rsidR="00C126DA" w:rsidRPr="00CE0B69" w:rsidRDefault="00C126DA" w:rsidP="00CE0B69">
      <w:pPr>
        <w:pStyle w:val="BodyText"/>
        <w:numPr>
          <w:ilvl w:val="0"/>
          <w:numId w:val="23"/>
        </w:numPr>
      </w:pPr>
      <w:r w:rsidRPr="00CE0B69">
        <w:t>To give effect to directions or advice from Senate, the Vice-Chancellor or the Academic Board (subject to app</w:t>
      </w:r>
      <w:r w:rsidR="00015DFA" w:rsidRPr="00CE0B69">
        <w:t>roval from the Vice-Chancellor).</w:t>
      </w:r>
    </w:p>
    <w:p w14:paraId="1B43F922" w14:textId="409969B7" w:rsidR="00C126DA" w:rsidRPr="00CE0B69" w:rsidRDefault="00C126DA" w:rsidP="00CE0B69">
      <w:pPr>
        <w:pStyle w:val="BodyText"/>
        <w:numPr>
          <w:ilvl w:val="0"/>
          <w:numId w:val="23"/>
        </w:numPr>
      </w:pPr>
      <w:r w:rsidRPr="00CE0B69">
        <w:t>To manage significant s</w:t>
      </w:r>
      <w:r w:rsidR="00015DFA" w:rsidRPr="00CE0B69">
        <w:t>trategic or financial risks.</w:t>
      </w:r>
    </w:p>
    <w:p w14:paraId="19B94819" w14:textId="672F7442" w:rsidR="00C126DA" w:rsidRPr="00CE0B69" w:rsidRDefault="00C126DA" w:rsidP="00CE0B69">
      <w:pPr>
        <w:pStyle w:val="BodyText"/>
        <w:numPr>
          <w:ilvl w:val="0"/>
          <w:numId w:val="23"/>
        </w:numPr>
      </w:pPr>
      <w:r w:rsidRPr="00CE0B69">
        <w:t>To demonstrate compliance with applicable laws, regulations, mandatory government policies/</w:t>
      </w:r>
      <w:r w:rsidR="00CE0B69">
        <w:t xml:space="preserve"> </w:t>
      </w:r>
      <w:r w:rsidRPr="00CE0B69">
        <w:t>standards, legal obligations and mandatory professional standards.</w:t>
      </w:r>
    </w:p>
    <w:p w14:paraId="740FAA24" w14:textId="4CE1E61F" w:rsidR="00C126DA" w:rsidRPr="00CE0B69" w:rsidRDefault="00C126DA" w:rsidP="00CE0B69">
      <w:pPr>
        <w:pStyle w:val="BodyText"/>
      </w:pPr>
      <w:r w:rsidRPr="00CE0B69">
        <w:t>Staff considering the development of a new policy must ensure that the proposal meets at least one of the above criteria for issuing policies.</w:t>
      </w:r>
    </w:p>
    <w:p w14:paraId="17FF16B9" w14:textId="5C4DD613" w:rsidR="00C126DA" w:rsidRDefault="00C126DA" w:rsidP="00CE0B69">
      <w:pPr>
        <w:pStyle w:val="BodyText"/>
      </w:pPr>
      <w:r w:rsidRPr="00CE0B69">
        <w:t xml:space="preserve">Staff should refer to </w:t>
      </w:r>
      <w:r w:rsidR="00CE0B69">
        <w:t xml:space="preserve">Section 2, ‘Documented Controls’ in the </w:t>
      </w:r>
      <w:r w:rsidRPr="00CE0B69">
        <w:t xml:space="preserve">Governance and Management Framework </w:t>
      </w:r>
      <w:r w:rsidR="00CE0B69">
        <w:t xml:space="preserve">Policy </w:t>
      </w:r>
      <w:r w:rsidRPr="00CE0B69">
        <w:t xml:space="preserve">to determine the type of policy or </w:t>
      </w:r>
      <w:proofErr w:type="gramStart"/>
      <w:r w:rsidRPr="00CE0B69">
        <w:t>other</w:t>
      </w:r>
      <w:proofErr w:type="gramEnd"/>
      <w:r w:rsidRPr="00CE0B69">
        <w:t xml:space="preserve"> </w:t>
      </w:r>
      <w:r w:rsidR="004F02DD" w:rsidRPr="00CE0B69">
        <w:t>document</w:t>
      </w:r>
      <w:r w:rsidRPr="00CE0B69">
        <w:t xml:space="preserve"> that may be required.</w:t>
      </w:r>
    </w:p>
    <w:p w14:paraId="2D6CF501" w14:textId="2C112AAB" w:rsidR="008321FB" w:rsidRPr="008321FB" w:rsidRDefault="008321FB" w:rsidP="008321FB">
      <w:pPr>
        <w:pStyle w:val="Heading1"/>
      </w:pPr>
      <w:r w:rsidRPr="008321FB">
        <w:t>Questions to consider when completing the Preliminary Assessment Review</w:t>
      </w:r>
    </w:p>
    <w:p w14:paraId="5A175758" w14:textId="77777777" w:rsidR="008321FB" w:rsidRPr="008321FB" w:rsidRDefault="008321FB" w:rsidP="008321FB">
      <w:pPr>
        <w:pStyle w:val="Heading2"/>
      </w:pPr>
      <w:r w:rsidRPr="008321FB">
        <w:t>Is a new policy needed?</w:t>
      </w:r>
    </w:p>
    <w:p w14:paraId="4C7EA389" w14:textId="77777777" w:rsidR="008321FB" w:rsidRPr="00C126DA" w:rsidRDefault="008321FB" w:rsidP="008321FB">
      <w:pPr>
        <w:pStyle w:val="BodyText"/>
        <w:numPr>
          <w:ilvl w:val="0"/>
          <w:numId w:val="24"/>
        </w:numPr>
      </w:pPr>
      <w:r w:rsidRPr="00C126DA">
        <w:t>How significant is the issue that you are trying to address through policy – what is its magnitude and the likelihood of it occurring? What evidence do you have to support your assessment? Who has been consulted?</w:t>
      </w:r>
    </w:p>
    <w:p w14:paraId="31548D12" w14:textId="77777777" w:rsidR="008321FB" w:rsidRPr="00C126DA" w:rsidRDefault="008321FB" w:rsidP="008321FB">
      <w:pPr>
        <w:pStyle w:val="BodyText"/>
        <w:numPr>
          <w:ilvl w:val="0"/>
          <w:numId w:val="24"/>
        </w:numPr>
      </w:pPr>
      <w:r w:rsidRPr="00C126DA">
        <w:t>Is the issue addressed elsewhere (e.g. another policy, procedure or guideline)? There may deficiencies in existing measures that could be improved instead of introducing a new policy.</w:t>
      </w:r>
    </w:p>
    <w:p w14:paraId="13B4BE43" w14:textId="77777777" w:rsidR="008321FB" w:rsidRPr="00C126DA" w:rsidRDefault="008321FB" w:rsidP="008321FB">
      <w:pPr>
        <w:pStyle w:val="BodyText"/>
        <w:numPr>
          <w:ilvl w:val="0"/>
          <w:numId w:val="24"/>
        </w:numPr>
      </w:pPr>
      <w:r w:rsidRPr="00C126DA">
        <w:t>Why do existing measures not sufficiently address the issue? Are existing measures poorly designed, or not being implemented, communicated or enforced?</w:t>
      </w:r>
    </w:p>
    <w:p w14:paraId="17F3D833" w14:textId="77777777" w:rsidR="008321FB" w:rsidRPr="00C126DA" w:rsidRDefault="008321FB" w:rsidP="008321FB">
      <w:pPr>
        <w:pStyle w:val="BodyText"/>
        <w:numPr>
          <w:ilvl w:val="0"/>
          <w:numId w:val="24"/>
        </w:numPr>
      </w:pPr>
      <w:r w:rsidRPr="00C126DA">
        <w:t>What are the consequences of not introducing a new policy?</w:t>
      </w:r>
    </w:p>
    <w:p w14:paraId="00B9D76D" w14:textId="77777777" w:rsidR="008321FB" w:rsidRPr="00C126DA" w:rsidRDefault="008321FB" w:rsidP="008321FB">
      <w:pPr>
        <w:pStyle w:val="BodyText"/>
        <w:numPr>
          <w:ilvl w:val="0"/>
          <w:numId w:val="24"/>
        </w:numPr>
      </w:pPr>
      <w:r w:rsidRPr="00C126DA">
        <w:t>Could UQ rely on the general application of existing laws and regulations (e.g. state and local government level) to address the issue?</w:t>
      </w:r>
    </w:p>
    <w:p w14:paraId="748A1B3B" w14:textId="77777777" w:rsidR="008321FB" w:rsidRPr="00C126DA" w:rsidRDefault="008321FB" w:rsidP="008321FB">
      <w:pPr>
        <w:pStyle w:val="BodyText"/>
        <w:numPr>
          <w:ilvl w:val="0"/>
          <w:numId w:val="24"/>
        </w:numPr>
      </w:pPr>
      <w:r w:rsidRPr="00C126DA">
        <w:t>Is the issue only temporary and will it correct itself within a reasonable timeframe?</w:t>
      </w:r>
    </w:p>
    <w:p w14:paraId="71438DD5" w14:textId="77777777" w:rsidR="008321FB" w:rsidRPr="008321FB" w:rsidRDefault="008321FB" w:rsidP="008321FB">
      <w:pPr>
        <w:pStyle w:val="Heading2"/>
      </w:pPr>
      <w:r w:rsidRPr="008321FB">
        <w:t>How will a new policy address the issue?</w:t>
      </w:r>
    </w:p>
    <w:p w14:paraId="47A5233B" w14:textId="77777777" w:rsidR="008321FB" w:rsidRPr="00C126DA" w:rsidRDefault="008321FB" w:rsidP="008321FB">
      <w:pPr>
        <w:pStyle w:val="BodyText"/>
        <w:numPr>
          <w:ilvl w:val="0"/>
          <w:numId w:val="25"/>
        </w:numPr>
      </w:pPr>
      <w:r w:rsidRPr="00C126DA">
        <w:t>Clearly identify why there is a legitimate reason for UQ to introduce a new policy.</w:t>
      </w:r>
    </w:p>
    <w:p w14:paraId="25457C35" w14:textId="77777777" w:rsidR="008321FB" w:rsidRPr="00C126DA" w:rsidRDefault="008321FB" w:rsidP="008321FB">
      <w:pPr>
        <w:pStyle w:val="BodyText"/>
        <w:numPr>
          <w:ilvl w:val="0"/>
          <w:numId w:val="25"/>
        </w:numPr>
      </w:pPr>
      <w:r w:rsidRPr="00C126DA">
        <w:t>Demonstrate that UQ has the capacity and resources to implement the policy successfully (e.g. ongoing monitoring or enforcement). The adoption and effectiveness of policies must be evidenced and verifiable.</w:t>
      </w:r>
    </w:p>
    <w:p w14:paraId="75BAB4B3" w14:textId="77777777" w:rsidR="008321FB" w:rsidRPr="008321FB" w:rsidRDefault="008321FB" w:rsidP="008321FB">
      <w:pPr>
        <w:pStyle w:val="Heading2"/>
      </w:pPr>
      <w:r w:rsidRPr="008321FB">
        <w:t>How will a new policy affect UQ stakeholders?</w:t>
      </w:r>
    </w:p>
    <w:p w14:paraId="16B320C1" w14:textId="77777777" w:rsidR="008321FB" w:rsidRPr="00C126DA" w:rsidRDefault="008321FB" w:rsidP="008321FB">
      <w:pPr>
        <w:pStyle w:val="BodyText"/>
        <w:numPr>
          <w:ilvl w:val="0"/>
          <w:numId w:val="26"/>
        </w:numPr>
      </w:pPr>
      <w:r w:rsidRPr="00C126DA">
        <w:t>Will the policy stop or prevent something that is currently occurring (or may potentially occur)?</w:t>
      </w:r>
    </w:p>
    <w:p w14:paraId="70FC4AFA" w14:textId="77777777" w:rsidR="008321FB" w:rsidRPr="00C126DA" w:rsidRDefault="008321FB" w:rsidP="008321FB">
      <w:pPr>
        <w:pStyle w:val="BodyText"/>
        <w:numPr>
          <w:ilvl w:val="0"/>
          <w:numId w:val="26"/>
        </w:numPr>
      </w:pPr>
      <w:r w:rsidRPr="00C126DA">
        <w:t>Will the policy require new actions to be taken (e.g. reporting requirements)?</w:t>
      </w:r>
    </w:p>
    <w:p w14:paraId="53CED3BA" w14:textId="21C55169" w:rsidR="00C126DA" w:rsidRDefault="008321FB" w:rsidP="008321FB">
      <w:pPr>
        <w:pStyle w:val="BodyText"/>
        <w:numPr>
          <w:ilvl w:val="0"/>
          <w:numId w:val="26"/>
        </w:numPr>
      </w:pPr>
      <w:r w:rsidRPr="00C126DA">
        <w:t>Have relevant stakeholders, including those affected by the policy, been consulted?</w:t>
      </w:r>
    </w:p>
    <w:sectPr w:rsidR="00C126DA" w:rsidSect="00F648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43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AF6A" w14:textId="77777777" w:rsidR="00062B40" w:rsidRDefault="00062B40" w:rsidP="00C20C17">
      <w:r>
        <w:separator/>
      </w:r>
    </w:p>
  </w:endnote>
  <w:endnote w:type="continuationSeparator" w:id="0">
    <w:p w14:paraId="72E9BBE8" w14:textId="77777777" w:rsidR="00062B40" w:rsidRDefault="00062B40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972B" w14:textId="77777777" w:rsidR="002F4C7B" w:rsidRDefault="002F4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31" w:type="pct"/>
      <w:tblLook w:val="0600" w:firstRow="0" w:lastRow="0" w:firstColumn="0" w:lastColumn="0" w:noHBand="1" w:noVBand="1"/>
    </w:tblPr>
    <w:tblGrid>
      <w:gridCol w:w="9075"/>
      <w:gridCol w:w="430"/>
    </w:tblGrid>
    <w:tr w:rsidR="00B042DF" w14:paraId="48601E17" w14:textId="77777777" w:rsidTr="007A70F9">
      <w:tc>
        <w:tcPr>
          <w:tcW w:w="9750" w:type="dxa"/>
          <w:vAlign w:val="bottom"/>
        </w:tcPr>
        <w:p w14:paraId="2388DE11" w14:textId="5047B3E9" w:rsidR="00B042DF" w:rsidRPr="00C7208B" w:rsidRDefault="00B042DF" w:rsidP="009E12AD">
          <w:pPr>
            <w:pStyle w:val="Footer"/>
            <w:ind w:right="260"/>
            <w:rPr>
              <w:szCs w:val="15"/>
            </w:rPr>
          </w:pPr>
        </w:p>
      </w:tc>
      <w:tc>
        <w:tcPr>
          <w:tcW w:w="456" w:type="dxa"/>
          <w:vAlign w:val="bottom"/>
        </w:tcPr>
        <w:p w14:paraId="54BBEC2B" w14:textId="6B9F33B9" w:rsidR="00B042DF" w:rsidRPr="0033054B" w:rsidRDefault="00B042DF" w:rsidP="00B042DF">
          <w:pPr>
            <w:pStyle w:val="Footer"/>
            <w:jc w:val="right"/>
            <w:rPr>
              <w:szCs w:val="15"/>
            </w:rPr>
          </w:pPr>
          <w:r w:rsidRPr="0033054B">
            <w:rPr>
              <w:b/>
              <w:szCs w:val="15"/>
            </w:rPr>
            <w:fldChar w:fldCharType="begin"/>
          </w:r>
          <w:r w:rsidRPr="0033054B">
            <w:rPr>
              <w:b/>
              <w:szCs w:val="15"/>
            </w:rPr>
            <w:instrText xml:space="preserve"> PAGE   \* MERGEFORMAT </w:instrText>
          </w:r>
          <w:r w:rsidRPr="0033054B">
            <w:rPr>
              <w:b/>
              <w:szCs w:val="15"/>
            </w:rPr>
            <w:fldChar w:fldCharType="separate"/>
          </w:r>
          <w:r w:rsidR="00BE5792">
            <w:rPr>
              <w:b/>
              <w:noProof/>
              <w:szCs w:val="15"/>
            </w:rPr>
            <w:t>2</w:t>
          </w:r>
          <w:r w:rsidRPr="0033054B">
            <w:rPr>
              <w:b/>
              <w:szCs w:val="15"/>
            </w:rPr>
            <w:fldChar w:fldCharType="end"/>
          </w:r>
        </w:p>
      </w:tc>
    </w:tr>
  </w:tbl>
  <w:p w14:paraId="2A6F247C" w14:textId="77777777" w:rsidR="00716942" w:rsidRPr="00B042DF" w:rsidRDefault="00716942" w:rsidP="00B042DF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0433B58F" w14:textId="77777777" w:rsidTr="0016241C">
      <w:tc>
        <w:tcPr>
          <w:tcW w:w="2548" w:type="dxa"/>
        </w:tcPr>
        <w:p w14:paraId="5E0C516A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199C32DE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2113471429"/>
              <w:placeholder>
                <w:docPart w:val="37F9E87CF6A44C3C89564CA96F9CE7DF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18581C95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-181672191"/>
              <w:placeholder>
                <w:docPart w:val="DC40BAB7DBDB40F98A0BC550710905FD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074D40DF" w14:textId="7BE1EC1F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1799413074"/>
              <w:placeholder>
                <w:docPart w:val="E6730F9A2C5046049E9B82CA7F999624"/>
              </w:placeholder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39BE5C17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56DFB738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5F84C984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4EC8D1F1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AAF62" w14:textId="77777777" w:rsidR="00062B40" w:rsidRDefault="00062B40" w:rsidP="00C20C17">
      <w:r>
        <w:separator/>
      </w:r>
    </w:p>
  </w:footnote>
  <w:footnote w:type="continuationSeparator" w:id="0">
    <w:p w14:paraId="1DE45395" w14:textId="77777777" w:rsidR="00062B40" w:rsidRDefault="00062B40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265C" w14:textId="77777777" w:rsidR="002F4C7B" w:rsidRDefault="002F4C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0E49" w14:textId="14DDB9F7" w:rsidR="007B0BBA" w:rsidRDefault="00A859C7" w:rsidP="007B0BBA">
    <w:pPr>
      <w:pStyle w:val="Header"/>
      <w:jc w:val="right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290DE3" wp14:editId="1F5ACFA0">
              <wp:simplePos x="0" y="0"/>
              <wp:positionH relativeFrom="margin">
                <wp:posOffset>3810</wp:posOffset>
              </wp:positionH>
              <wp:positionV relativeFrom="paragraph">
                <wp:posOffset>1905</wp:posOffset>
              </wp:positionV>
              <wp:extent cx="3181350" cy="554355"/>
              <wp:effectExtent l="0" t="0" r="19050" b="171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0" cy="5543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AB579" w14:textId="7B333C9A" w:rsidR="00A859C7" w:rsidRPr="00A859C7" w:rsidRDefault="00351FF3">
                          <w:pP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8"/>
                            </w:rPr>
                            <w:t>Preliminary Assessment Review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290D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.3pt;margin-top:.15pt;width:250.5pt;height:43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" fillcolor="#51247a [3204]" strokecolor="#51247a [3204]">
              <v:textbox>
                <w:txbxContent>
                  <w:p w14:paraId="057AB579" w14:textId="7B333C9A" w:rsidR="00A859C7" w:rsidRPr="00A859C7" w:rsidRDefault="00351FF3">
                    <w:pPr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8"/>
                      </w:rPr>
                      <w:t>Preliminary Assessment Review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845EC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6D95601A" wp14:editId="1B6057E4">
          <wp:simplePos x="0" y="0"/>
          <wp:positionH relativeFrom="column">
            <wp:posOffset>-736600</wp:posOffset>
          </wp:positionH>
          <wp:positionV relativeFrom="paragraph">
            <wp:posOffset>-413689</wp:posOffset>
          </wp:positionV>
          <wp:extent cx="7640320" cy="1092200"/>
          <wp:effectExtent l="0" t="0" r="0" b="0"/>
          <wp:wrapTight wrapText="bothSides">
            <wp:wrapPolygon edited="0">
              <wp:start x="0" y="0"/>
              <wp:lineTo x="0" y="21098"/>
              <wp:lineTo x="21543" y="21098"/>
              <wp:lineTo x="21543" y="0"/>
              <wp:lineTo x="0" y="0"/>
            </wp:wrapPolygon>
          </wp:wrapTight>
          <wp:docPr id="27" name="Picture 27" descr="S:\BEL-FacultyOffice\Marketing\Branding_Logos_Templates &amp; Fonts\3. Templates\BEL\Word Docs\Rebrand\UQ Create Change Generic purple portrait template_head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EL-FacultyOffice\Marketing\Branding_Logos_Templates &amp; Fonts\3. Templates\BEL\Word Docs\Rebrand\UQ Create Change Generic purple portrait template_head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2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0FC276" w14:textId="08B3FB27" w:rsidR="007B0BBA" w:rsidRDefault="007B0BBA" w:rsidP="007B0B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BE4C" w14:textId="77777777" w:rsidR="00F4114D" w:rsidRDefault="00F4114D" w:rsidP="00F4114D">
    <w:pPr>
      <w:pStyle w:val="Header"/>
      <w:jc w:val="right"/>
    </w:pPr>
  </w:p>
  <w:p w14:paraId="04D52987" w14:textId="2700A8FE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F5FD736" wp14:editId="427F25C6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7510D7"/>
    <w:multiLevelType w:val="multilevel"/>
    <w:tmpl w:val="2F6CA4A0"/>
    <w:numStyleLink w:val="ListBullet"/>
  </w:abstractNum>
  <w:abstractNum w:abstractNumId="2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3B374A6"/>
    <w:multiLevelType w:val="hybridMultilevel"/>
    <w:tmpl w:val="C17C38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6" w15:restartNumberingAfterBreak="0">
    <w:nsid w:val="1BFA7F19"/>
    <w:multiLevelType w:val="hybridMultilevel"/>
    <w:tmpl w:val="580C1756"/>
    <w:lvl w:ilvl="0" w:tplc="0C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3227770"/>
    <w:multiLevelType w:val="hybridMultilevel"/>
    <w:tmpl w:val="BC22E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6736D"/>
    <w:multiLevelType w:val="hybridMultilevel"/>
    <w:tmpl w:val="E48C5E92"/>
    <w:lvl w:ilvl="0" w:tplc="5B88F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33370ED9"/>
    <w:multiLevelType w:val="hybridMultilevel"/>
    <w:tmpl w:val="A1A4A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91940"/>
    <w:multiLevelType w:val="hybridMultilevel"/>
    <w:tmpl w:val="AA480F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999490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7B063E6"/>
    <w:multiLevelType w:val="hybridMultilevel"/>
    <w:tmpl w:val="20D60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90D8A"/>
    <w:multiLevelType w:val="multilevel"/>
    <w:tmpl w:val="8752BC70"/>
    <w:numStyleLink w:val="ListSectionTitle"/>
  </w:abstractNum>
  <w:abstractNum w:abstractNumId="18" w15:restartNumberingAfterBreak="0">
    <w:nsid w:val="494E7AED"/>
    <w:multiLevelType w:val="hybridMultilevel"/>
    <w:tmpl w:val="4E70B2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AA0A7D"/>
    <w:multiLevelType w:val="multilevel"/>
    <w:tmpl w:val="E9B44B6A"/>
    <w:numStyleLink w:val="ListParagraph"/>
  </w:abstractNum>
  <w:abstractNum w:abstractNumId="20" w15:restartNumberingAfterBreak="0">
    <w:nsid w:val="53FE7795"/>
    <w:multiLevelType w:val="multilevel"/>
    <w:tmpl w:val="B5BC7C40"/>
    <w:numStyleLink w:val="ListAppendix"/>
  </w:abstractNum>
  <w:abstractNum w:abstractNumId="21" w15:restartNumberingAfterBreak="0">
    <w:nsid w:val="55EB6525"/>
    <w:multiLevelType w:val="hybridMultilevel"/>
    <w:tmpl w:val="DB6660B0"/>
    <w:lvl w:ilvl="0" w:tplc="D9FAD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F149E"/>
    <w:multiLevelType w:val="hybridMultilevel"/>
    <w:tmpl w:val="48B81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B3D2C"/>
    <w:multiLevelType w:val="hybridMultilevel"/>
    <w:tmpl w:val="976EF17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1376003866">
    <w:abstractNumId w:val="24"/>
  </w:num>
  <w:num w:numId="2" w16cid:durableId="172301972">
    <w:abstractNumId w:val="5"/>
  </w:num>
  <w:num w:numId="3" w16cid:durableId="5984141">
    <w:abstractNumId w:val="14"/>
  </w:num>
  <w:num w:numId="4" w16cid:durableId="1233273195">
    <w:abstractNumId w:val="3"/>
  </w:num>
  <w:num w:numId="5" w16cid:durableId="2051874407">
    <w:abstractNumId w:val="19"/>
  </w:num>
  <w:num w:numId="6" w16cid:durableId="1424836643">
    <w:abstractNumId w:val="7"/>
  </w:num>
  <w:num w:numId="7" w16cid:durableId="106390265">
    <w:abstractNumId w:val="10"/>
  </w:num>
  <w:num w:numId="8" w16cid:durableId="130023450">
    <w:abstractNumId w:val="11"/>
  </w:num>
  <w:num w:numId="9" w16cid:durableId="179659323">
    <w:abstractNumId w:val="2"/>
  </w:num>
  <w:num w:numId="10" w16cid:durableId="2070222479">
    <w:abstractNumId w:val="15"/>
  </w:num>
  <w:num w:numId="11" w16cid:durableId="1786464221">
    <w:abstractNumId w:val="1"/>
  </w:num>
  <w:num w:numId="12" w16cid:durableId="157355617">
    <w:abstractNumId w:val="0"/>
  </w:num>
  <w:num w:numId="13" w16cid:durableId="1705982899">
    <w:abstractNumId w:val="17"/>
    <w:lvlOverride w:ilvl="1">
      <w:lvl w:ilvl="1">
        <w:start w:val="1"/>
        <w:numFmt w:val="decimal"/>
        <w:lvlRestart w:val="0"/>
        <w:pStyle w:val="SectionNumberOnly"/>
        <w:suff w:val="nothing"/>
        <w:lvlText w:val="%2"/>
        <w:lvlJc w:val="left"/>
        <w:pPr>
          <w:ind w:left="0" w:firstLine="0"/>
        </w:pPr>
        <w:rPr>
          <w:rFonts w:hint="default"/>
        </w:rPr>
      </w:lvl>
    </w:lvlOverride>
  </w:num>
  <w:num w:numId="14" w16cid:durableId="1204366138">
    <w:abstractNumId w:val="20"/>
  </w:num>
  <w:num w:numId="15" w16cid:durableId="23943797">
    <w:abstractNumId w:val="17"/>
  </w:num>
  <w:num w:numId="16" w16cid:durableId="862668990">
    <w:abstractNumId w:val="16"/>
  </w:num>
  <w:num w:numId="17" w16cid:durableId="845828669">
    <w:abstractNumId w:val="23"/>
  </w:num>
  <w:num w:numId="18" w16cid:durableId="833036833">
    <w:abstractNumId w:val="9"/>
  </w:num>
  <w:num w:numId="19" w16cid:durableId="195511106">
    <w:abstractNumId w:val="6"/>
  </w:num>
  <w:num w:numId="20" w16cid:durableId="83382139">
    <w:abstractNumId w:val="4"/>
  </w:num>
  <w:num w:numId="21" w16cid:durableId="216625143">
    <w:abstractNumId w:val="13"/>
  </w:num>
  <w:num w:numId="22" w16cid:durableId="845634059">
    <w:abstractNumId w:val="18"/>
  </w:num>
  <w:num w:numId="23" w16cid:durableId="615334274">
    <w:abstractNumId w:val="21"/>
  </w:num>
  <w:num w:numId="24" w16cid:durableId="1501777106">
    <w:abstractNumId w:val="22"/>
  </w:num>
  <w:num w:numId="25" w16cid:durableId="2088991916">
    <w:abstractNumId w:val="12"/>
  </w:num>
  <w:num w:numId="26" w16cid:durableId="916594203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A4"/>
    <w:rsid w:val="00015DFA"/>
    <w:rsid w:val="000300D4"/>
    <w:rsid w:val="00062B40"/>
    <w:rsid w:val="000A7AFE"/>
    <w:rsid w:val="000B3E75"/>
    <w:rsid w:val="0016241C"/>
    <w:rsid w:val="001741BF"/>
    <w:rsid w:val="00193459"/>
    <w:rsid w:val="0019685F"/>
    <w:rsid w:val="00196C64"/>
    <w:rsid w:val="001B6A57"/>
    <w:rsid w:val="001C2C76"/>
    <w:rsid w:val="001E544B"/>
    <w:rsid w:val="002142AC"/>
    <w:rsid w:val="00232464"/>
    <w:rsid w:val="00241DF1"/>
    <w:rsid w:val="00256979"/>
    <w:rsid w:val="00282008"/>
    <w:rsid w:val="00287293"/>
    <w:rsid w:val="00292EDB"/>
    <w:rsid w:val="002A766C"/>
    <w:rsid w:val="002B4E0A"/>
    <w:rsid w:val="002D73F6"/>
    <w:rsid w:val="002E0C95"/>
    <w:rsid w:val="002F4C7B"/>
    <w:rsid w:val="002F612F"/>
    <w:rsid w:val="0030119F"/>
    <w:rsid w:val="00310B79"/>
    <w:rsid w:val="0033054B"/>
    <w:rsid w:val="00351FF3"/>
    <w:rsid w:val="00365B60"/>
    <w:rsid w:val="00384CD9"/>
    <w:rsid w:val="003F3893"/>
    <w:rsid w:val="00416FF4"/>
    <w:rsid w:val="00445521"/>
    <w:rsid w:val="00463D08"/>
    <w:rsid w:val="004713C5"/>
    <w:rsid w:val="004972A0"/>
    <w:rsid w:val="004C0ECC"/>
    <w:rsid w:val="004E3A44"/>
    <w:rsid w:val="004F02DD"/>
    <w:rsid w:val="00522609"/>
    <w:rsid w:val="00525963"/>
    <w:rsid w:val="00576D68"/>
    <w:rsid w:val="005845EC"/>
    <w:rsid w:val="00591036"/>
    <w:rsid w:val="005A6CC7"/>
    <w:rsid w:val="005B54F0"/>
    <w:rsid w:val="005D0167"/>
    <w:rsid w:val="005D4250"/>
    <w:rsid w:val="005E7363"/>
    <w:rsid w:val="005F22F2"/>
    <w:rsid w:val="00614669"/>
    <w:rsid w:val="006377A2"/>
    <w:rsid w:val="00670B05"/>
    <w:rsid w:val="00684298"/>
    <w:rsid w:val="006873AE"/>
    <w:rsid w:val="00691D45"/>
    <w:rsid w:val="006A4D54"/>
    <w:rsid w:val="006A6A04"/>
    <w:rsid w:val="006B3C38"/>
    <w:rsid w:val="006C0E44"/>
    <w:rsid w:val="006D4D0C"/>
    <w:rsid w:val="006E3472"/>
    <w:rsid w:val="006E71A4"/>
    <w:rsid w:val="0071246C"/>
    <w:rsid w:val="00715A9A"/>
    <w:rsid w:val="00716942"/>
    <w:rsid w:val="00726A4F"/>
    <w:rsid w:val="00734117"/>
    <w:rsid w:val="00736768"/>
    <w:rsid w:val="007A70F9"/>
    <w:rsid w:val="007B0BBA"/>
    <w:rsid w:val="007B215D"/>
    <w:rsid w:val="007C38B8"/>
    <w:rsid w:val="007F5557"/>
    <w:rsid w:val="008321FB"/>
    <w:rsid w:val="00834296"/>
    <w:rsid w:val="00862690"/>
    <w:rsid w:val="0087132B"/>
    <w:rsid w:val="00875DDC"/>
    <w:rsid w:val="008776BB"/>
    <w:rsid w:val="00882359"/>
    <w:rsid w:val="00896140"/>
    <w:rsid w:val="008B0D7D"/>
    <w:rsid w:val="008E2EA4"/>
    <w:rsid w:val="008E7F75"/>
    <w:rsid w:val="009212B7"/>
    <w:rsid w:val="00944DDB"/>
    <w:rsid w:val="00945A82"/>
    <w:rsid w:val="00956F29"/>
    <w:rsid w:val="0097348F"/>
    <w:rsid w:val="009774DC"/>
    <w:rsid w:val="009A44D0"/>
    <w:rsid w:val="009C006F"/>
    <w:rsid w:val="009D6143"/>
    <w:rsid w:val="009D7E0D"/>
    <w:rsid w:val="009D7F71"/>
    <w:rsid w:val="009E12AD"/>
    <w:rsid w:val="009E3486"/>
    <w:rsid w:val="009E3FDE"/>
    <w:rsid w:val="009E6379"/>
    <w:rsid w:val="009F3881"/>
    <w:rsid w:val="00A1219F"/>
    <w:rsid w:val="00A12421"/>
    <w:rsid w:val="00A34437"/>
    <w:rsid w:val="00A62DC6"/>
    <w:rsid w:val="00A77D53"/>
    <w:rsid w:val="00A77D75"/>
    <w:rsid w:val="00A859C7"/>
    <w:rsid w:val="00A902D6"/>
    <w:rsid w:val="00A979C0"/>
    <w:rsid w:val="00AE34ED"/>
    <w:rsid w:val="00AE7D65"/>
    <w:rsid w:val="00B025B0"/>
    <w:rsid w:val="00B042DF"/>
    <w:rsid w:val="00B13955"/>
    <w:rsid w:val="00B20B3C"/>
    <w:rsid w:val="00B473B6"/>
    <w:rsid w:val="00B51A61"/>
    <w:rsid w:val="00B742E4"/>
    <w:rsid w:val="00BA4749"/>
    <w:rsid w:val="00BC0E71"/>
    <w:rsid w:val="00BE0430"/>
    <w:rsid w:val="00BE112C"/>
    <w:rsid w:val="00BE5792"/>
    <w:rsid w:val="00C126DA"/>
    <w:rsid w:val="00C20C17"/>
    <w:rsid w:val="00C33B32"/>
    <w:rsid w:val="00C474B7"/>
    <w:rsid w:val="00C555F6"/>
    <w:rsid w:val="00C6387F"/>
    <w:rsid w:val="00C7208B"/>
    <w:rsid w:val="00C733AD"/>
    <w:rsid w:val="00C960ED"/>
    <w:rsid w:val="00CA4DCB"/>
    <w:rsid w:val="00CE0B69"/>
    <w:rsid w:val="00CE7A06"/>
    <w:rsid w:val="00D02DF1"/>
    <w:rsid w:val="00D13C7F"/>
    <w:rsid w:val="00D32971"/>
    <w:rsid w:val="00D820D8"/>
    <w:rsid w:val="00D8242B"/>
    <w:rsid w:val="00DA5594"/>
    <w:rsid w:val="00DB4398"/>
    <w:rsid w:val="00DD0AFE"/>
    <w:rsid w:val="00DD3FBD"/>
    <w:rsid w:val="00DE3280"/>
    <w:rsid w:val="00DF407F"/>
    <w:rsid w:val="00DF5EA7"/>
    <w:rsid w:val="00E56661"/>
    <w:rsid w:val="00E7261C"/>
    <w:rsid w:val="00E77EBA"/>
    <w:rsid w:val="00E87A8D"/>
    <w:rsid w:val="00E94975"/>
    <w:rsid w:val="00EE473C"/>
    <w:rsid w:val="00F03BB0"/>
    <w:rsid w:val="00F37ED1"/>
    <w:rsid w:val="00F4114D"/>
    <w:rsid w:val="00F4312A"/>
    <w:rsid w:val="00F5068C"/>
    <w:rsid w:val="00F6489E"/>
    <w:rsid w:val="00F77373"/>
    <w:rsid w:val="00FC0BC3"/>
    <w:rsid w:val="00FD1621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D53C24"/>
  <w15:chartTrackingRefBased/>
  <w15:docId w15:val="{2D422CDB-DC06-40D2-9B0C-4382C7E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19F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8321FB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color w:val="51247A" w:themeColor="accent1"/>
      <w:sz w:val="24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8321FB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i/>
      <w:iCs/>
      <w:color w:val="51247A" w:themeColor="accent1"/>
      <w:szCs w:val="20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2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8321FB"/>
    <w:rPr>
      <w:rFonts w:asciiTheme="majorHAnsi" w:eastAsiaTheme="majorEastAsia" w:hAnsiTheme="majorHAnsi" w:cstheme="majorBidi"/>
      <w:color w:val="51247A" w:themeColor="accent1"/>
      <w:sz w:val="24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8321FB"/>
    <w:rPr>
      <w:rFonts w:asciiTheme="majorHAnsi" w:eastAsiaTheme="majorEastAsia" w:hAnsiTheme="majorHAnsi" w:cstheme="majorBidi"/>
      <w:b/>
      <w:i/>
      <w:iCs/>
      <w:color w:val="51247A" w:themeColor="accent1"/>
      <w:sz w:val="20"/>
      <w:szCs w:val="20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F03BB0"/>
    <w:pPr>
      <w:spacing w:before="120" w:after="120" w:line="259" w:lineRule="auto"/>
    </w:pPr>
  </w:style>
  <w:style w:type="character" w:customStyle="1" w:styleId="BodyTextChar">
    <w:name w:val="Body Text Char"/>
    <w:basedOn w:val="DefaultParagraphFont"/>
    <w:link w:val="BodyText"/>
    <w:rsid w:val="00F03BB0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51247A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E62645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A1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uq.edu.au/document/view-current.php?id=9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olicies.uq.edu.au/document/view-current.php?id=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overnance@uq.edu.au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%20(kboodl)\kboodl%20Team%20Folder\_Clients\University%20of%20Queensland\UQ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F9E87CF6A44C3C89564CA96F9C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E8DE-7622-4B19-B3BB-24AAC2CAAB38}"/>
      </w:docPartPr>
      <w:docPartBody>
        <w:p w:rsidR="00094622" w:rsidRDefault="00FE3B09" w:rsidP="00FE3B09">
          <w:pPr>
            <w:pStyle w:val="37F9E87CF6A44C3C89564CA96F9CE7DF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DC40BAB7DBDB40F98A0BC5507109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9660-28A2-433C-97A5-028C8BEB36F7}"/>
      </w:docPartPr>
      <w:docPartBody>
        <w:p w:rsidR="00094622" w:rsidRDefault="00FE3B09" w:rsidP="00FE3B09">
          <w:pPr>
            <w:pStyle w:val="DC40BAB7DBDB40F98A0BC550710905FD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E6730F9A2C5046049E9B82CA7F99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E229-385C-46DF-B35D-FEA9F9AE3B9E}"/>
      </w:docPartPr>
      <w:docPartBody>
        <w:p w:rsidR="00094622" w:rsidRDefault="00FE3B09" w:rsidP="00FE3B09">
          <w:pPr>
            <w:pStyle w:val="E6730F9A2C5046049E9B82CA7F9996242"/>
          </w:pPr>
          <w:r w:rsidRPr="0016241C">
            <w:rPr>
              <w:highlight w:val="yellow"/>
            </w:rPr>
            <w:t>[</w:t>
          </w:r>
          <w:r>
            <w:rPr>
              <w:highlight w:val="yellow"/>
            </w:rPr>
            <w:t>email</w:t>
          </w:r>
          <w:r w:rsidRPr="0016241C">
            <w:rPr>
              <w:highlight w:val="yello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66"/>
    <w:rsid w:val="00094622"/>
    <w:rsid w:val="00214366"/>
    <w:rsid w:val="007D3465"/>
    <w:rsid w:val="008A243F"/>
    <w:rsid w:val="00956F29"/>
    <w:rsid w:val="009B7BBC"/>
    <w:rsid w:val="00B74C95"/>
    <w:rsid w:val="00DF407F"/>
    <w:rsid w:val="00FD31B9"/>
    <w:rsid w:val="00FE3B09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B09"/>
    <w:rPr>
      <w:color w:val="808080"/>
    </w:rPr>
  </w:style>
  <w:style w:type="paragraph" w:customStyle="1" w:styleId="37F9E87CF6A44C3C89564CA96F9CE7DF2">
    <w:name w:val="37F9E87CF6A44C3C89564CA96F9CE7DF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2">
    <w:name w:val="DC40BAB7DBDB40F98A0BC550710905FD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2">
    <w:name w:val="E6730F9A2C5046049E9B82CA7F999624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Q with Neutral">
      <a:dk1>
        <a:sysClr val="windowText" lastClr="000000"/>
      </a:dk1>
      <a:lt1>
        <a:sysClr val="window" lastClr="FFFFFF"/>
      </a:lt1>
      <a:dk2>
        <a:srgbClr val="44546A"/>
      </a:dk2>
      <a:lt2>
        <a:srgbClr val="D9AC6D"/>
      </a:lt2>
      <a:accent1>
        <a:srgbClr val="51247A"/>
      </a:accent1>
      <a:accent2>
        <a:srgbClr val="E62645"/>
      </a:accent2>
      <a:accent3>
        <a:srgbClr val="999490"/>
      </a:accent3>
      <a:accent4>
        <a:srgbClr val="EB602B"/>
      </a:accent4>
      <a:accent5>
        <a:srgbClr val="4085C6"/>
      </a:accent5>
      <a:accent6>
        <a:srgbClr val="D7D1CC"/>
      </a:accent6>
      <a:hlink>
        <a:srgbClr val="51247A"/>
      </a:hlink>
      <a:folHlink>
        <a:srgbClr val="5124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54B93-24E5-4BC4-A012-332DAFFE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C:\Users\User\Dropbox (kboodl)\kboodl Team Folder\_Clients\University of Queensland\UQ Letterhead template.dotx</Template>
  <TotalTime>22</TotalTime>
  <Pages>2</Pages>
  <Words>618</Words>
  <Characters>3451</Characters>
  <Application>Microsoft Office Word</Application>
  <DocSecurity>0</DocSecurity>
  <Lines>85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Preliminary Assessment Review</vt:lpstr>
    </vt:vector>
  </TitlesOfParts>
  <Manager/>
  <Company/>
  <LinksUpToDate>false</LinksUpToDate>
  <CharactersWithSpaces>4039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Preliminary Assessment Review</dc:title>
  <dc:subject/>
  <dc:creator>The University of Queensland</dc:creator>
  <cp:keywords/>
  <dc:description/>
  <cp:lastModifiedBy>David Rogers</cp:lastModifiedBy>
  <cp:revision>10</cp:revision>
  <dcterms:created xsi:type="dcterms:W3CDTF">2020-10-19T06:39:00Z</dcterms:created>
  <dcterms:modified xsi:type="dcterms:W3CDTF">2025-11-09T23:22:00Z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2024-05-31T05:55:50Z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57e5a087-b053-45a2-98c9-5e7dde8834d3</vt:lpwstr>
  </property>
  <property fmtid="{D5CDD505-2E9C-101B-9397-08002B2CF9AE}" pid="8" name="MSIP_Label_0f488380-630a-4f55-a077-a19445e3f360_ContentBits">
    <vt:lpwstr>0</vt:lpwstr>
  </property>
</Properties>
</file>